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No.333-64173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No.333-64171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No.333-79741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No.333-54266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No.333-165098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No.333-165101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No.333-231199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No.333-251486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No.333-262922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No.333-271875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left="540" w:right="560"/>
        <w:spacing w:after="0" w:line="260" w:lineRule="auto"/>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NO.333-64171 FORM S-8 REGISTRATION STATEMENT NO.333-64173 FORM S-8 REGISTRATION STATEMENT NO.333-79741 FORM S-8 REGISTRATION STATEMENT NO.333-54266 FORM S-8 REGISTRATION STATEMENT NO.333-165098 FORM S-8 REGISTRATION STATEMENT NO.333-165101 FORM S-8 REGISTRATION STATEMENT NO.333-231199 FORM S-8 REGISTRATION STATEMENT NO.333-251486 FORM S-8 REGISTRATION STATEMENT NO.333-262922 FORM S-8 REGISTRATION STATEMENT NO.333-271875</w:t>
      </w:r>
    </w:p>
    <w:p>
      <w:pPr>
        <w:jc w:val="center"/>
        <w:ind w:right="2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Surmodics,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2540" w:type="dxa"/>
            <w:vAlign w:val="bottom"/>
          </w:tcPr>
          <w:p>
            <w:pPr>
              <w:jc w:val="right"/>
              <w:ind w:right="733"/>
              <w:spacing w:after="0"/>
              <w:rPr>
                <w:sz w:val="20"/>
                <w:szCs w:val="20"/>
                <w:color w:val="auto"/>
              </w:rPr>
            </w:pPr>
            <w:r>
              <w:rPr>
                <w:rFonts w:ascii="Times New Roman" w:cs="Times New Roman" w:eastAsia="Times New Roman" w:hAnsi="Times New Roman"/>
                <w:sz w:val="18"/>
                <w:szCs w:val="18"/>
                <w:b w:val="1"/>
                <w:bCs w:val="1"/>
                <w:color w:val="auto"/>
              </w:rPr>
              <w:t>41-1356149</w:t>
            </w:r>
          </w:p>
        </w:tc>
      </w:tr>
      <w:tr>
        <w:trPr>
          <w:trHeight w:val="149"/>
        </w:trPr>
        <w:tc>
          <w:tcPr>
            <w:tcW w:w="6520" w:type="dxa"/>
            <w:vAlign w:val="bottom"/>
          </w:tcPr>
          <w:p>
            <w:pPr>
              <w:jc w:val="center"/>
              <w:ind w:right="195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w w:val="99"/>
              </w:rPr>
              <w:t>9924 West 74th Street</w:t>
            </w:r>
          </w:p>
        </w:tc>
        <w:tc>
          <w:tcPr>
            <w:tcW w:w="2540" w:type="dxa"/>
            <w:vAlign w:val="bottom"/>
          </w:tcPr>
          <w:p>
            <w:pPr>
              <w:spacing w:after="0"/>
              <w:rPr>
                <w:sz w:val="24"/>
                <w:szCs w:val="24"/>
                <w:color w:val="auto"/>
              </w:rPr>
            </w:pPr>
          </w:p>
        </w:tc>
      </w:tr>
      <w:tr>
        <w:trPr>
          <w:trHeight w:val="214"/>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w w:val="99"/>
              </w:rPr>
              <w:t>Eden Prairie, Minnesota 55344</w:t>
            </w:r>
          </w:p>
        </w:tc>
        <w:tc>
          <w:tcPr>
            <w:tcW w:w="2540" w:type="dxa"/>
            <w:vAlign w:val="bottom"/>
          </w:tcPr>
          <w:p>
            <w:pPr>
              <w:spacing w:after="0"/>
              <w:rPr>
                <w:sz w:val="18"/>
                <w:szCs w:val="18"/>
                <w:color w:val="auto"/>
              </w:rPr>
            </w:pPr>
          </w:p>
        </w:tc>
      </w:tr>
      <w:tr>
        <w:trPr>
          <w:trHeight w:val="190"/>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2540" w:type="dxa"/>
            <w:vAlign w:val="bottom"/>
          </w:tcPr>
          <w:p>
            <w:pPr>
              <w:spacing w:after="0"/>
              <w:rPr>
                <w:sz w:val="16"/>
                <w:szCs w:val="16"/>
                <w:color w:val="auto"/>
              </w:rPr>
            </w:pPr>
          </w:p>
        </w:tc>
      </w:tr>
      <w:tr>
        <w:trPr>
          <w:trHeight w:val="393"/>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w w:val="99"/>
              </w:rPr>
              <w:t>1987 Incentive Stock Option Plan</w:t>
            </w:r>
          </w:p>
        </w:tc>
        <w:tc>
          <w:tcPr>
            <w:tcW w:w="2540" w:type="dxa"/>
            <w:vAlign w:val="bottom"/>
          </w:tcPr>
          <w:p>
            <w:pPr>
              <w:spacing w:after="0"/>
              <w:rPr>
                <w:sz w:val="24"/>
                <w:szCs w:val="24"/>
                <w:color w:val="auto"/>
              </w:rPr>
            </w:pPr>
          </w:p>
        </w:tc>
      </w:tr>
      <w:tr>
        <w:trPr>
          <w:trHeight w:val="216"/>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w w:val="99"/>
              </w:rPr>
              <w:t>1997 Incentive Stock Option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rPr>
              <w:t>Nonqualified Stock Option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w w:val="99"/>
              </w:rPr>
              <w:t>Restricted Stock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w w:val="99"/>
              </w:rPr>
              <w:t>1999 Employee Stock Purchase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rPr>
              <w:t>2009 Equity Incentive Plan</w:t>
            </w:r>
          </w:p>
        </w:tc>
        <w:tc>
          <w:tcPr>
            <w:tcW w:w="2540" w:type="dxa"/>
            <w:vAlign w:val="bottom"/>
          </w:tcPr>
          <w:p>
            <w:pPr>
              <w:spacing w:after="0"/>
              <w:rPr>
                <w:sz w:val="18"/>
                <w:szCs w:val="18"/>
                <w:color w:val="auto"/>
              </w:rPr>
            </w:pPr>
          </w:p>
        </w:tc>
      </w:tr>
      <w:tr>
        <w:trPr>
          <w:trHeight w:val="214"/>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tc>
        <w:tc>
          <w:tcPr>
            <w:tcW w:w="2540" w:type="dxa"/>
            <w:vAlign w:val="bottom"/>
          </w:tcPr>
          <w:p>
            <w:pPr>
              <w:spacing w:after="0"/>
              <w:rPr>
                <w:sz w:val="18"/>
                <w:szCs w:val="18"/>
                <w:color w:val="auto"/>
              </w:rPr>
            </w:pPr>
          </w:p>
        </w:tc>
      </w:tr>
      <w:tr>
        <w:trPr>
          <w:trHeight w:val="190"/>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2540" w:type="dxa"/>
            <w:vAlign w:val="bottom"/>
          </w:tcPr>
          <w:p>
            <w:pPr>
              <w:spacing w:after="0"/>
              <w:rPr>
                <w:sz w:val="16"/>
                <w:szCs w:val="16"/>
                <w:color w:val="auto"/>
              </w:rPr>
            </w:pPr>
          </w:p>
        </w:tc>
      </w:tr>
      <w:tr>
        <w:trPr>
          <w:trHeight w:val="442"/>
        </w:trPr>
        <w:tc>
          <w:tcPr>
            <w:tcW w:w="6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tc>
      </w:tr>
      <w:tr>
        <w:trPr>
          <w:trHeight w:val="302"/>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Robert B. Hance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Rachel W. Sheridan, P.C.</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and Assistant Secretary</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Shagufa R. Hossain, P.C.</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Surmodics, Inc.</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Christina M. Thomas</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123 Rock Road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Horsham, Pennsylvania 19044</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1301 Pennsylvania Avenue, N.W.</w:t>
            </w:r>
          </w:p>
        </w:tc>
      </w:tr>
      <w:tr>
        <w:trPr>
          <w:trHeight w:val="214"/>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(215) 734-0888</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Washington, D.C. 20004</w:t>
            </w:r>
          </w:p>
        </w:tc>
      </w:tr>
      <w:tr>
        <w:trPr>
          <w:trHeight w:val="167"/>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4"/>
                <w:szCs w:val="14"/>
                <w:b w:val="1"/>
                <w:bCs w:val="1"/>
                <w:color w:val="auto"/>
              </w:rPr>
              <w:t>(Name, address and telephone number</w:t>
            </w:r>
          </w:p>
        </w:tc>
        <w:tc>
          <w:tcPr>
            <w:tcW w:w="2540" w:type="dxa"/>
            <w:vAlign w:val="bottom"/>
          </w:tcPr>
          <w:p>
            <w:pPr>
              <w:jc w:val="right"/>
              <w:ind w:right="613"/>
              <w:spacing w:after="0" w:line="167" w:lineRule="exact"/>
              <w:rPr>
                <w:sz w:val="20"/>
                <w:szCs w:val="20"/>
                <w:color w:val="auto"/>
              </w:rPr>
            </w:pPr>
            <w:r>
              <w:rPr>
                <w:rFonts w:ascii="Times New Roman" w:cs="Times New Roman" w:eastAsia="Times New Roman" w:hAnsi="Times New Roman"/>
                <w:sz w:val="18"/>
                <w:szCs w:val="18"/>
                <w:b w:val="1"/>
                <w:bCs w:val="1"/>
                <w:color w:val="auto"/>
              </w:rPr>
              <w:t>(202) 389-5000</w:t>
            </w:r>
          </w:p>
        </w:tc>
      </w:tr>
      <w:tr>
        <w:trPr>
          <w:trHeight w:val="190"/>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4"/>
                <w:szCs w:val="14"/>
                <w:b w:val="1"/>
                <w:bCs w:val="1"/>
                <w:color w:val="auto"/>
              </w:rPr>
              <w:t>including area code, of agent for service)</w:t>
            </w:r>
          </w:p>
        </w:tc>
        <w:tc>
          <w:tcPr>
            <w:tcW w:w="25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354"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020"/>
          </w:cols>
          <w:pgMar w:left="440" w:top="225"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Surmodics, Inc. (the “Registrant”) relate to the following registration statements on Form S-8 (together, the “Registration Statements”):</w:t>
      </w:r>
    </w:p>
    <w:p>
      <w:pPr>
        <w:spacing w:after="0" w:line="54" w:lineRule="exact"/>
        <w:rPr>
          <w:sz w:val="20"/>
          <w:szCs w:val="20"/>
          <w:color w:val="auto"/>
        </w:rPr>
      </w:pPr>
    </w:p>
    <w:p>
      <w:pPr>
        <w:ind w:right="320" w:firstLine="436"/>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333-64173, registering (i) an aggregate of 982,240 shares of the Registrant’s common stock, $0.05 par value per share (the “Common Stock”) issuable under the Registrant’s Nonqualified Stock Option Plan and (ii) an indefinite amount of options to purchase Common Stock under the Registrant’s Nonqualified Stock Option Plan, which was filed with the U.S. Securities and Exchange Commission (the “Commission”) on September 24, 1998;</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333-64171, registering (i) an aggregate of 877,700 shares of Common Stock, consisting of (a) 277,700 shares of Common Stock issuable under the Registrant’s 1987 Incentive Stock Option Plan and (b) 600,000 shares of Common Stock issuable under the Registrant’s 1997 Incentive Stock Option Plan and (ii) an indefinite amount of options to purchase Common Stock under the Registrant’s 1987 Incentive Stock Option Plan and 1997 Incentive Stock Option Plan, which was filed with the Commission on September 24, 1998;</w:t>
      </w:r>
    </w:p>
    <w:p>
      <w:pPr>
        <w:spacing w:after="0" w:line="179"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333-79741, registering an aggregate of 100,000 shares of Common Stock issuable under the Registrant’s Restricted Stock Plan, which was filed with the Commission on June 1, 1999;</w:t>
      </w:r>
    </w:p>
    <w:p>
      <w:pPr>
        <w:spacing w:after="0" w:line="161" w:lineRule="exact"/>
        <w:rPr>
          <w:rFonts w:ascii="Times New Roman" w:cs="Times New Roman" w:eastAsia="Times New Roman" w:hAnsi="Times New Roman"/>
          <w:sz w:val="18"/>
          <w:szCs w:val="18"/>
          <w:color w:val="auto"/>
        </w:rPr>
      </w:pPr>
    </w:p>
    <w:p>
      <w:pPr>
        <w:ind w:right="240" w:firstLine="436"/>
        <w:spacing w:after="0" w:line="26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333-54266, registering (i) an aggregate of 200,000 shares of Common Stock issuable under the Registrant’s 1999 Employee Stock Purchase Plan, as later amended and restated (the “1999 Plan”) and (ii) an indefinite amount of options to purchase Common Stock under the 1999 Plan, which was filed with the Commission on January 25, 2001;</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333-165098, registering (i) an aggregate of 1,500,000 shares of Common Stock issuable under the Registrant’s 2009 Equity Incentive Plan, (ii) an undetermined number of shares of Common Stock that were previously registered by the Registrant under the Registrant’s 2003 Equity Incentive plan on Registration Statement No. 333-104258 and Registration Statement No. 333-123521, which was filed with the Commission on February 26, 2010;</w:t>
      </w:r>
    </w:p>
    <w:p>
      <w:pPr>
        <w:spacing w:after="0" w:line="179"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333-165101, registering an aggregate of 200,000 shares of Common Stock issuable under the Registrant’s 1999 Plan, which was filed with the Commission on February 26, 2010;</w:t>
      </w:r>
    </w:p>
    <w:p>
      <w:pPr>
        <w:spacing w:after="0" w:line="161" w:lineRule="exact"/>
        <w:rPr>
          <w:rFonts w:ascii="Times New Roman" w:cs="Times New Roman" w:eastAsia="Times New Roman" w:hAnsi="Times New Roman"/>
          <w:sz w:val="18"/>
          <w:szCs w:val="18"/>
          <w:color w:val="auto"/>
        </w:rPr>
      </w:pPr>
    </w:p>
    <w:p>
      <w:pPr>
        <w:ind w:right="24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333-231199, registering an aggregate of 1,100,000 shares of Common Stock issuable under the Registrant’s 2019 Equity Incentive Plan, as later amended and restated (the “2019 Plan”), which was filed with the Commission on May 3, 2019;</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333-251486, registering an aggregate of 162,917 shares of Common Stock issuable under the Registrant’s 1999 Plan, which was filed with the Commission on December 18, 2020;</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333-262922, registering an aggregate of 800,000 shares of Common Stock issuable under the Registrant’s 2019 Plan, which was filed with the Commission on February 23, 2022; and</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7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333-271875, registering an aggregate of 440,000 shares of Common Stock issuable under the Registrant’s 2019 Plan, which was filed with the Commission on May 12, 2023.</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November 19, 2025, pursuant to the Merger Agreement, dated May 28, 2024 (the “Merger Agreement”), by and among the Registrant, BCE Parent, LLC (“Parent”) and BCE Merger Sub, Inc. (“Merger Sub”), Merger Sub merged with and into the Registrant (the “Merger”), with the Registrant continuing as the surviving corporation and becoming a wholly-owned subsidiary of Parent. As a result of the transactions contemplated by the Merger Agreement, the Registrant has terminated any and all offerings and sales of securities pursuant to the Registration Statements. In accordance with the undertakings made by the Registrant in each of the Registration Statements to remove from registration, by means of a post-effective amendment, any of the securities of the Registrant registered under such Registration Statement which remain unsold at the termination of the offering, the Registrant hereby terminates the effectiveness of the Registration Statements and removes from registration all of the securities that remain unsold under the Registration Statements as of the date hereof, if any.</w:t>
      </w:r>
    </w:p>
    <w:p>
      <w:pPr>
        <w:sectPr>
          <w:pgSz w:w="11900" w:h="16838" w:orient="portrait"/>
          <w:cols w:equalWidth="0" w:num="1">
            <w:col w:w="11000"/>
          </w:cols>
          <w:pgMar w:left="440" w:top="266" w:right="459" w:bottom="1440" w:gutter="0" w:footer="0" w:header="0"/>
        </w:sectPr>
      </w:pPr>
    </w:p>
    <w:bookmarkStart w:id="3" w:name="page4"/>
    <w:bookmarkEnd w:id="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is filing these Post-Effective Amendments to withdraw and remove from registration all securities registered pursuant to the Registration Statements that remain unsold as of the date hereof.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0460"/>
          </w:cols>
          <w:pgMar w:left="440" w:top="270" w:right="9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Horsham, State of Pennsylvania, on November 19,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SURMODICS,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B. 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Robert B. Hance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Chief Executive Officer and Assistant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Rule 478 under the Securities Act of 1933, no other person is required to sign these Post-Effective Amendments.</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2025-11-19T15:45:30Z</dcterms:created>
  <dcterms:modified xsi:type="dcterms:W3CDTF">2025-11-19T15:45:30Z</dcterms:modified>
</cp:coreProperties>
</file>