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SURMODICS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$0.05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868873100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DAVID GOLDMAN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GAMCO INVESTORS, INC., ONE CORPORATE CENTER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RYE, NY, 10580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9149215000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11/19/2025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868873100</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GAMCO INVESTORS, INC. ET AL</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HC</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868873100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GABELLI FUNDS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868873100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GAMCO Asset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 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868873100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GABELLI &amp; Co INVESTMENT ADVISERS,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CO</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868873100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GGCP,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WYOMING</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HC</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868873100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Associated Capital Group,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HC</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868873100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GABELLI MARIO J</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2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20" w:type="dxa"/>
            <w:vAlign w:val="bottom"/>
          </w:tcPr>
          <w:p>
            <w:pPr>
              <w:spacing w:after="0"/>
              <w:rPr>
                <w:sz w:val="23"/>
                <w:szCs w:val="23"/>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$0.05 par value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SURMODICS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9924 W 74TH ST, 9924 W 74TH ST, EDEN PRAIRIE, MINNESOTA , 55344.</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right="60"/>
        <w:spacing w:after="0" w:line="249" w:lineRule="auto"/>
        <w:rPr>
          <w:sz w:val="20"/>
          <w:szCs w:val="20"/>
          <w:color w:val="auto"/>
        </w:rPr>
      </w:pPr>
      <w:r>
        <w:rPr>
          <w:rFonts w:ascii="Times New Roman" w:cs="Times New Roman" w:eastAsia="Times New Roman" w:hAnsi="Times New Roman"/>
          <w:sz w:val="21"/>
          <w:szCs w:val="21"/>
          <w:color w:val="auto"/>
        </w:rPr>
        <w:t>This statement is being filed by one or more of the following persons: GGCP, Inc. (GGCP), GGCP Holdings LLC (GGCP Holdings), GAMCO Investors, Inc. (GBL), Associated Capital Group, Inc. (AC), Gabelli Funds, LLC (Gabelli Funds), GAMCO Asset Management Inc. (GAMCO), Teton Advisors, LLC (Teton Advisors), Keeley-Teton</w:t>
      </w:r>
    </w:p>
    <w:p>
      <w:pPr>
        <w:spacing w:after="0" w:line="1" w:lineRule="exact"/>
        <w:rPr>
          <w:sz w:val="20"/>
          <w:szCs w:val="20"/>
          <w:color w:val="auto"/>
        </w:rPr>
      </w:pPr>
    </w:p>
    <w:p>
      <w:pPr>
        <w:ind w:left="940" w:right="80" w:hanging="932"/>
        <w:spacing w:after="0" w:line="234"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Advisors, LLC (Keeley-Teton), Gabelli &amp; Company Investment Advisers, Inc. (GCIA), Morgan Group Holding Co., (MGH), G.research, LLC (G.research), MJG Associates, Inc. (MJG Associates), Gabelli Securities International (Bermuda) Limited (GSIL), Gabelli Foundation, Inc. (Foundation), Mario Gabelli, LICT and CIBL. Those of the foregoing persons signing this Schedule 13D are hereinafter referred to as the Reporting Persons.</w:t>
      </w:r>
    </w:p>
    <w:p>
      <w:pPr>
        <w:spacing w:after="0" w:line="15" w:lineRule="exact"/>
        <w:rPr>
          <w:rFonts w:ascii="Times New Roman" w:cs="Times New Roman" w:eastAsia="Times New Roman" w:hAnsi="Times New Roman"/>
          <w:sz w:val="22"/>
          <w:szCs w:val="22"/>
          <w:color w:val="auto"/>
        </w:rPr>
      </w:pPr>
    </w:p>
    <w:p>
      <w:pPr>
        <w:ind w:left="940" w:right="4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GAMCO is a New York corporation and GBL and MGH are Delaware corporations, each having its principal business office at One Corporate Center, Rye, New York 10580. GGCP is a Wyoming corporation and AC and GCIA are Delaware corporations each having its principal business office 191 Mason Street, Greenwich, CT 06830. GGCP Holdings is a Delaware limited liability corporation having its principal business office at 191 Mason Street, Greenwich, CT 06830. G.research is a Delaware limited liability company having its principal officers at One Corporate Center, Rye, New York 10580. Gabelli Funds is a New York limited liability company having its principal</w:t>
      </w:r>
    </w:p>
    <w:p>
      <w:pPr>
        <w:spacing w:after="0" w:line="2" w:lineRule="exact"/>
        <w:rPr>
          <w:rFonts w:ascii="Times New Roman" w:cs="Times New Roman" w:eastAsia="Times New Roman" w:hAnsi="Times New Roman"/>
          <w:sz w:val="22"/>
          <w:szCs w:val="22"/>
          <w:color w:val="auto"/>
        </w:rPr>
      </w:pPr>
    </w:p>
    <w:p>
      <w:pPr>
        <w:ind w:left="940" w:hanging="932"/>
        <w:spacing w:after="0" w:line="207" w:lineRule="auto"/>
        <w:tabs>
          <w:tab w:leader="none" w:pos="94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business office at One Corporate Center, Rye, New York 10580. Teton Advisors is a Wyoming limited liability company having its principal place of business at 189 Mason Street, Greenwich, CT 06830. Keeley-Teton Advisors is a Delaware limited liability company having its principal place of business at 141 W. Jackson Blvd., Chicago, IL 60604. MJG Associates is a Connecticut corporation having its principal business office at 191 Mason Street, Greenwich, CT 06830. The Foundation is a Nevada corporation having its principal offices at 165 West Liberty Street, Reno, Nevada 89501. LICT is a Delaware corporation having its principal place of business as 401 Theodore Fremd Avenue, Rye, New York 10580. CIBL, Inc. is a Delaware corporation having its principal place of business as 165 West Liberty Street, Suite 220, Reno, NV 89501.</w:t>
      </w:r>
    </w:p>
    <w:p>
      <w:pPr>
        <w:spacing w:after="0" w:line="20" w:lineRule="exact"/>
        <w:rPr>
          <w:rFonts w:ascii="Times New Roman" w:cs="Times New Roman" w:eastAsia="Times New Roman" w:hAnsi="Times New Roman"/>
          <w:sz w:val="43"/>
          <w:szCs w:val="43"/>
          <w:color w:val="auto"/>
          <w:vertAlign w:val="subscript"/>
        </w:rPr>
      </w:pPr>
    </w:p>
    <w:p>
      <w:pPr>
        <w:ind w:left="940" w:right="160" w:hanging="932"/>
        <w:spacing w:after="0" w:line="251" w:lineRule="auto"/>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GGCP makes investments for its own account and is the manager and a member of GGCP Holdings which is the controlling shareholder of GBL and AC. GBL, a public company whose stock is quoted on the OTCQX platform, is the parent company for a variety of companies engaged in the securities business, including certain of those named below. AC, a public company listed on the New York Stock Exchange, is the parent company for a variety of companies engaged in the securities business, including certain of those listed below. GAMCO, a wholly-owned</w:t>
      </w:r>
    </w:p>
    <w:p>
      <w:pPr>
        <w:sectPr>
          <w:pgSz w:w="11900" w:h="16838" w:orient="portrait"/>
          <w:cols w:equalWidth="0" w:num="1">
            <w:col w:w="11120"/>
          </w:cols>
          <w:pgMar w:left="360" w:top="102" w:right="419" w:bottom="0" w:gutter="0" w:footer="0" w:header="0"/>
        </w:sectPr>
      </w:pPr>
    </w:p>
    <w:bookmarkStart w:id="7" w:name="page8"/>
    <w:bookmarkEnd w:id="7"/>
    <w:p>
      <w:pPr>
        <w:spacing w:after="0" w:line="26" w:lineRule="exact"/>
        <w:rPr>
          <w:sz w:val="20"/>
          <w:szCs w:val="20"/>
          <w:color w:val="auto"/>
        </w:rPr>
      </w:pPr>
    </w:p>
    <w:p>
      <w:pPr>
        <w:ind w:left="940"/>
        <w:spacing w:after="0" w:line="242" w:lineRule="auto"/>
        <w:rPr>
          <w:sz w:val="20"/>
          <w:szCs w:val="20"/>
          <w:color w:val="auto"/>
        </w:rPr>
      </w:pPr>
      <w:r>
        <w:rPr>
          <w:rFonts w:ascii="Times New Roman" w:cs="Times New Roman" w:eastAsia="Times New Roman" w:hAnsi="Times New Roman"/>
          <w:sz w:val="21"/>
          <w:szCs w:val="21"/>
          <w:color w:val="auto"/>
        </w:rPr>
        <w:t>subsidiary of GBL, is an investment adviser registered under the Investment Advisers Act of 1940, as amended (Advisers Act). GAMCO is an investment manager providing discretionary managed account services for employee benefit plans, private investors, endowments, foundations and others. GCIA, a wholly owned subsidiary of AC, is an investment adviser registered under the Advisers Act and serves as a general partner or investment manager to limited partnerships and offshore investment companies and other accounts. As a part of its business, GCIA may purchase or sell securities for its own account. GCIA or its relying advisers, act as a general partner or investment manager of a number of funds or partnerships, including Gabelli Associates Fund, L.P., Gabelli Associates Fund II, L.P., Gabelli Associates Limited, Gabelli Associates Limited II E, Gabelli Intermediate Credit Fund L.P., GAMA Select Plus Master Fund, Ltd., GAMCO Medical Opportunities L.P., and Gabelli Multimedia Partners, L.P. G.research is a wholly owned subsidiary of MGH. G.research, is a broker-dealer registered under the Securities Exchange Act of 1934, as amended (1934 Act), which may as a part of its business purchase and sell securities for its own account. Gabelli Funds, a wholly owned subsidiary of GBL, is a limited liability company. Gabelli Funds is an investment adviser registered under the Advisers Act which provides advisory services for The Gabelli Equity Trust Inc., The Gabelli Asset Fund, The Gabelli Growth Fund, The Gabelli Convertible and Income Securities Fund Inc., The Gabelli Value 25 Fund Inc., The Gabelli Small Cap Growth Fund, The Gabelli Equity Income Fund, The Gabelli ABC Fund, The Gabelli Global Content &amp; Connectivity Fund, The Gabelli Gold Fund, Inc., The Gabelli Multimedia Trust Inc., The Gabelli Global Rising Income &amp; Dividend Fund, The Gabelli Capital Asset Fund, The Gabelli International Growth Fund, Inc., The Gabelli Global Growth Fund, The Gabelli Utility Trust, The Gabelli Utilities Fund, The Gabelli Dividend Growth Fund, The Gabelli Focused Growth and Income Fund, The Comstock Capital Value Fund, The Gabelli Dividend and Income Trust, The Gabelli Global Utility &amp; Income Trust, The GAMCO Global Gold, Natural Resources, &amp; Income Trust, The GAMCO Natural Resources, Gold &amp; Income Trust, The GDL Fund, Gabelli Enterprise Mergers &amp; Acquisitions Fund, The Gabelli ESG Fund, Inc., The Gabelli International Small Cap Fund, The Gabelli Healthcare &amp; Wellness Rx Trust, The Gabelli Global Small and Mid Cap Value Trust, Gabelli Merger Plus+ Trust Plc, The Gabelli Global Financial Services Fund, The Gabelli Global Mini Mites Fund, The Gabelli Media Mogul Fund, The Gabelli Pet Parents Fund, The Gabelli U.S. Treasury Money Market Fund, Bancroft Fund Ltd. and Ellsworth Growth &amp; Income Fund Ltd., Gabelli Growth Innovators ETF, Gabelli Love Our Planet &amp; People ETF, Gabelli Automation ETF, Gabelli Commercial Aerospace &amp; Defense ETF, Gabelli Financial Services Opportunities ETF (collectively, the Funds), which are registered investment companies. Gabelli Funds is also the investment adviser to The GAMCO International SICAV (sub-funds GAMCO Merger Arbitrage and GAMCO All Cap Value), a UCITS III vehicle. Teton Advisors, an investment adviser registered under the Advisers Act, provides discretionary advisory services to The TETON Westwood Mighty Mites Fund, The TETON Convertible Securities Fund, The Teton Westwood Balanced Fund, and The TETON Westwood Equity Fund. The TETON Westwood Mighty Mites Fund and the Teton Convertible Securities Fund are subadvised by Gabelli Funds, and their holdings are included in this filing. Keeley-Teton, an investment adviser registered under the Advisers Act, provides discretionary advisory services to The Teton Westwood Smallcap Equity Fund, The Keeley Small Cap Dividend Value Fund, The Keeley Small-Mid Cap Value Fund, and The Keeley Mid Cap Dividend Value Fund, as well as to institutional and individual clients. MJG Associates provides advisory services to private investment partnerships and offshore funds. Mario Gabelli is the sole shareholder, director and employee of MJG Associates. MJG Associates is the Investment Manager of Gabelli International Limited and Gabelli Fund, LDC. Mario J. Gabelli is the general partner of Gabelli Performance Partnership, LP. The Foundation is a private foundation. Mario Gabelli is the Chairman, a Trustee and the Investment Manager of the Foundation. Elisa M. Wilson is the President of the Foundation. LICT is a holding company with operating subsidiaries engaged primarily in the rural telephone industry. LICT actively pursues new business ventures and acquisitions. LICT makes investments in marketable securities to preserve capital and maintain liquidity for financing their business activities and acquisitions and are not engaged in the business of investing, or trading in securities. Mario J. Gabelli is the Chief Executive Officer, a director, and substantial shareholder of LICT. CIBL is a holding company with interest in telecommunications operations, primarily in the rural telephone industry. CIBL actively pursues new business ventures and acquisitions. CIBL makes investments in marketable securities to preserve capital and maintain liquidity for financing their business activities and acquisitions and are not engaged in the business of investing, or trading in securities. Mario J. Gabelli is a director, and substantial shareholder of CIBL. Mario Gabelli is the controlling stockholder, co-Chief Executive Officer and a director of GGCP and Chairman and Chief Executive Officer of GBL. He is the Executive Chairman of AC. Mario Gabelli is also a member of GGCP Holdings. Mario Gabelli is the controlling shareholder of MGH and indirectly of Teton Advisors and Keeley-Teton Advisors.</w:t>
      </w:r>
    </w:p>
    <w:p>
      <w:pPr>
        <w:spacing w:after="0" w:line="200" w:lineRule="exact"/>
        <w:rPr>
          <w:sz w:val="20"/>
          <w:szCs w:val="20"/>
          <w:color w:val="auto"/>
        </w:rPr>
      </w:pPr>
    </w:p>
    <w:p>
      <w:pPr>
        <w:spacing w:after="0" w:line="315" w:lineRule="exact"/>
        <w:rPr>
          <w:sz w:val="20"/>
          <w:szCs w:val="20"/>
          <w:color w:val="auto"/>
        </w:rPr>
      </w:pPr>
    </w:p>
    <w:p>
      <w:pPr>
        <w:ind w:left="940" w:hanging="932"/>
        <w:spacing w:after="0"/>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United States.</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The Reporting Persons file the long form Schedule 13D pursuant to Section 13d-1 of the Securities Exchange Act of 1934 (the "Act") even though they may be technically eligible to file the short form Schedule G. Because the Reporting Persons may regularly communicate with the Issuer's management, filing the Schedule 13D ensures that these conversations are compliant with the reporting obligations under the Exchange Act.</w:t>
      </w:r>
    </w:p>
    <w:p>
      <w:pPr>
        <w:spacing w:after="0" w:line="1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180" w:hanging="932"/>
        <w:spacing w:after="0" w:line="185" w:lineRule="auto"/>
        <w:tabs>
          <w:tab w:leader="none" w:pos="94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As a result of the completion of the acquisition of the Issuer by an affiliate of GTCR LLC, the Reporting Persons no longer have beneficial ownership of any of the Issuer's shares.</w:t>
      </w:r>
    </w:p>
    <w:p>
      <w:pPr>
        <w:spacing w:after="0" w:line="17" w:lineRule="exact"/>
        <w:rPr>
          <w:rFonts w:ascii="Times New Roman" w:cs="Times New Roman" w:eastAsia="Times New Roman" w:hAnsi="Times New Roman"/>
          <w:sz w:val="39"/>
          <w:szCs w:val="39"/>
          <w:color w:val="auto"/>
          <w:vertAlign w:val="subscript"/>
        </w:rPr>
      </w:pPr>
    </w:p>
    <w:p>
      <w:pPr>
        <w:jc w:val="both"/>
        <w:ind w:left="940" w:right="300" w:hanging="932"/>
        <w:spacing w:after="0" w:line="282" w:lineRule="auto"/>
        <w:tabs>
          <w:tab w:leader="none" w:pos="9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Reporting Persons and Covered Persons has the sole power to vote or direct the vote and sole power to dispose or to direct the disposition of the Securities reported for it, either for its own benefit or for the benefit of its</w:t>
      </w:r>
    </w:p>
    <w:p>
      <w:pPr>
        <w:sectPr>
          <w:pgSz w:w="11900" w:h="16864" w:orient="portrait"/>
          <w:cols w:equalWidth="0" w:num="1">
            <w:col w:w="11160"/>
          </w:cols>
          <w:pgMar w:left="360" w:top="111" w:right="379" w:bottom="0" w:gutter="0" w:footer="0" w:header="0"/>
        </w:sectPr>
      </w:pPr>
    </w:p>
    <w:bookmarkStart w:id="8" w:name="page9"/>
    <w:bookmarkEnd w:id="8"/>
    <w:p>
      <w:pPr>
        <w:spacing w:after="0" w:line="49" w:lineRule="exact"/>
        <w:rPr>
          <w:sz w:val="20"/>
          <w:szCs w:val="20"/>
          <w:color w:val="auto"/>
        </w:rPr>
      </w:pPr>
    </w:p>
    <w:p>
      <w:pPr>
        <w:ind w:left="932"/>
        <w:spacing w:after="0" w:line="235" w:lineRule="auto"/>
        <w:rPr>
          <w:sz w:val="20"/>
          <w:szCs w:val="20"/>
          <w:color w:val="auto"/>
        </w:rPr>
      </w:pPr>
      <w:r>
        <w:rPr>
          <w:rFonts w:ascii="Times New Roman" w:cs="Times New Roman" w:eastAsia="Times New Roman" w:hAnsi="Times New Roman"/>
          <w:sz w:val="22"/>
          <w:szCs w:val="22"/>
          <w:color w:val="auto"/>
        </w:rPr>
        <w:t>investment clients or its partners, as the case may be, except that (i) Gabelli Funds has sole dispositive and 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 at any time, the Proxy Voting Committee of each such Fund may take and exercise in its sole discretion the entire voting power with respect to the shares held by such fund under special circumstances such as regulatory considerations, and (iii) the power of Mario Gabelli, AC, GBL, and GGCP is indirect with respect to Securities beneficially owned directly by other Reporting Persons.</w:t>
      </w:r>
    </w:p>
    <w:p>
      <w:pPr>
        <w:spacing w:after="0" w:line="22" w:lineRule="exact"/>
        <w:rPr>
          <w:sz w:val="20"/>
          <w:szCs w:val="20"/>
          <w:color w:val="auto"/>
        </w:rPr>
      </w:pPr>
    </w:p>
    <w:p>
      <w:pPr>
        <w:ind w:left="932" w:right="40"/>
        <w:spacing w:after="0" w:line="244" w:lineRule="auto"/>
        <w:rPr>
          <w:sz w:val="20"/>
          <w:szCs w:val="20"/>
          <w:color w:val="auto"/>
        </w:rPr>
      </w:pPr>
      <w:r>
        <w:rPr>
          <w:rFonts w:ascii="Times New Roman" w:cs="Times New Roman" w:eastAsia="Times New Roman" w:hAnsi="Times New Roman"/>
          <w:sz w:val="21"/>
          <w:szCs w:val="21"/>
          <w:color w:val="auto"/>
        </w:rPr>
        <w:t>Information with respect to all transactions in the Securities which were effected during the past sixty days or since the most recent filing on Schedule 13D, whichever is less, by each of the Reporting Persons and Covered Persons is set forth below: DATE SHARES PURCHASED PRICE /SOLD ASSOCIATED CAPITAL GROUP, INC. 11/19/2025 -8,607 43.0000 11/18/2025 50 42.0300 11/14/2025 50 41.3910 11/14/2025 157 41.4418 11/13/2025 100 41.3969 11/12/2025 150 40.9820 11/11/2025 5,800 40.9126 GABELLI &amp; COMPANY INVESTMENT ADVISERS, INC. GABELLI ASSOCIATES FUND II 11/19/2025 -15,208 43.0000 11/18/2025 100 42.0300 11/14/2025 50 41.3910 11/14/2025 300 41.4418 11/13/2025 100 41.3969 11/12/2025 200 40.9820 11/11/2025 700 40.9126 11/10/2025 -500 26.9733 GABELLI ASSOCIATES FUND 11/19/2025 -44,703 43.0000 11/18/2025 300 42.0300 11/14/2025 150</w:t>
      </w:r>
    </w:p>
    <w:p>
      <w:pPr>
        <w:spacing w:after="0" w:line="4" w:lineRule="exact"/>
        <w:rPr>
          <w:sz w:val="20"/>
          <w:szCs w:val="20"/>
          <w:color w:val="auto"/>
        </w:rPr>
      </w:pPr>
    </w:p>
    <w:p>
      <w:pPr>
        <w:ind w:left="932" w:right="320"/>
        <w:spacing w:after="0" w:line="230" w:lineRule="auto"/>
        <w:rPr>
          <w:sz w:val="20"/>
          <w:szCs w:val="20"/>
          <w:color w:val="auto"/>
        </w:rPr>
      </w:pPr>
      <w:r>
        <w:rPr>
          <w:rFonts w:ascii="Times New Roman" w:cs="Times New Roman" w:eastAsia="Times New Roman" w:hAnsi="Times New Roman"/>
          <w:sz w:val="22"/>
          <w:szCs w:val="22"/>
          <w:color w:val="auto"/>
        </w:rPr>
        <w:t>41.3910 11/14/2025 750 41.4418 11/13/2025 300 41.3969 11/12/2025 650 40.9820 11/11/2025 2,150 40.9126 11/10/2025 -1,650 26.9733 GABELLI ASSOCIATES LIMITED II E 11/19/2025 -27,459 43.0000 11/18/2025 250 42.0300 11/14/2025 50 41.3910 11/14/2025 450 41.4418 11/13/2025 200 41.3969 11/12/2025 400 40.9820 11/11/2025 1,300 40.9126 11/10/2025 -950 26.9733 GABELLI ASSOCIATES LIMITED 11/19/2025 -81,165</w:t>
      </w:r>
    </w:p>
    <w:p>
      <w:pPr>
        <w:spacing w:after="0" w:line="2" w:lineRule="exact"/>
        <w:rPr>
          <w:sz w:val="20"/>
          <w:szCs w:val="20"/>
          <w:color w:val="auto"/>
        </w:rPr>
      </w:pPr>
    </w:p>
    <w:p>
      <w:pPr>
        <w:ind w:left="932" w:right="80"/>
        <w:spacing w:after="0" w:line="241" w:lineRule="auto"/>
        <w:rPr>
          <w:sz w:val="20"/>
          <w:szCs w:val="20"/>
          <w:color w:val="auto"/>
        </w:rPr>
      </w:pPr>
      <w:r>
        <w:rPr>
          <w:rFonts w:ascii="Times New Roman" w:cs="Times New Roman" w:eastAsia="Times New Roman" w:hAnsi="Times New Roman"/>
          <w:sz w:val="21"/>
          <w:szCs w:val="21"/>
          <w:color w:val="auto"/>
        </w:rPr>
        <w:t>43.0000 11/18/2025 600 42.0300 11/14/2025 250 41.3910 11/14/2025 1,350 41.4418 11/13/2025 3,800 41.3969 11/12/2025 1,800 40.9820 11/10/2025 -3,400 26.9733 10/9/2025 -500 28.8256 10/2/2025 -500 30.0000 GABELLI FOUNDATION, INC. 11/17/2025 -3,000 42.8311 11/14/2025 -1,000 41.5500 11/13/2025 -6,000 41.3880 11/12/2025 -2,000 41.3204 11/11/2025 -2,000 40.9055 10/30/2025 1,000 26.8800 10/29/2025 1,000 27.2500 10/22/2025 1,000 28.2000 10/20/2025 500 28.0500 10/2/2025 500 29.9000 9/22/2025 200 32.1500 GABELLI FUNDS, LLC</w:t>
      </w:r>
    </w:p>
    <w:p>
      <w:pPr>
        <w:spacing w:after="0" w:line="3" w:lineRule="exact"/>
        <w:rPr>
          <w:sz w:val="20"/>
          <w:szCs w:val="20"/>
          <w:color w:val="auto"/>
        </w:rPr>
      </w:pPr>
    </w:p>
    <w:p>
      <w:pPr>
        <w:ind w:left="932" w:right="40" w:hanging="932"/>
        <w:spacing w:after="0" w:line="220" w:lineRule="auto"/>
        <w:tabs>
          <w:tab w:leader="none" w:pos="932"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GABELLI ABC FUND 11/19/2025 -77,000 43.0000 11/18/2025 2,000 42.9697 11/17/2025 -25,000 42.8617 10/15/2025 3,000 27.6000 9/30/2025 2,000 29.9200 9/19/2025 800 32.3300 COMSTOCK CAPITAL VALUE FUND 11/19/2025 -3,250 43.0000 11/14/2025 250 41.4418 11/12/2025 250 40.9820 11/11/2025 250 40.9126 GABELLI ENTERPRISE M&amp;A FUND 11/19/2025 -17,000 43.0000 11/18/2025 2,000 42.9697 11/17/2025 -15,000 42.8581 10/2/2025 500 29.9000 9/30/2025 300 29.9450 9/18/2025 300 32.0000 GABELLI MERCHANT PARTNERS PLC 11/19/2025 -18,000 43.0000 11/10/2025 -1,850 26.9733 11/10/2025 -1,000 27.5748 10/9/2025 -500 28.8256 10/2/2025 -500 30.0000 GAMCO MERGER ARBITRAGE UCITS 11/19/2025 -151,748 43.0000 11/18/2025 1,200 42.0300 11/14/2025 450 41.3910 11/14/2025 2,550 41.4418 11/13/2025 1,427 41.3969 11/12/2025 2,150 40.9820 11/11/2025 7,300 40.9126 11/10/2025 -350 26.9733 GDL FUND 11/19/2025 -41,700 43.0000 GABELLI SMALL &amp; MIDCAP VALUE TRUST 11/19/2025 -3,700 43.0000 GABELLI HEALTHCARE &amp; WELLNESS TRUST 11/19/2025 -10,000 43.0000 11/17/2025 -11,000 42.8647 11/12/2025 -4,000 41.4400 11/11/2025 -6,000 40.7277 11/10/2025 1,000 26.1788 10/24/2025 1,000 27.2633 10/23/2025 1,000 27.0959 GABELLI SMALL CAP GROWTH FUND 11/19/2025 -15,000 43.0000 11/17/2025 -4,500 42.8622 11/12/2025 -800 41.1000 GAMCO ASSET MANAGEMENT INC. 11/19/2025 -40,000 43.0000 11/18/2025 2,000 42.9700 11/17/2025 -60,000 42.8486 11/17/2025 -12,000 42.8650 11/12/2025 -6,000 41.1100 11/11/2025 -6,000 40.8157 10/31/2025 400 27.1500 10/27/2025 3,000 27.0500 10/22/2025 1,000 28.2500 10/3/2025 3,000 29.8000 9/23/2025 800 31.4000 GAMCO INVESTORS, INC. 11/19/2025 -100,000 43.0000 11/18/2025 100,000 42.9800 THE TRANSACTIONS ON 11/19/2025 ARE A RESULT OF THE COMPLETION OF THE ACQUISITION OF THE ISSUER BY AN AFFILIATE OF GTCR LLC.</w:t>
      </w:r>
    </w:p>
    <w:p>
      <w:pPr>
        <w:spacing w:after="0" w:line="20" w:lineRule="exact"/>
        <w:rPr>
          <w:sz w:val="20"/>
          <w:szCs w:val="20"/>
          <w:color w:val="auto"/>
        </w:rPr>
      </w:pPr>
    </w:p>
    <w:p>
      <w:pPr>
        <w:ind w:left="932" w:right="400" w:hanging="932"/>
        <w:spacing w:after="0"/>
        <w:tabs>
          <w:tab w:leader="none" w:pos="932"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Persons ceased to be the beneficial owner of more than five percent of the Issuer on November 19, 2025.</w:t>
      </w:r>
    </w:p>
    <w:p>
      <w:pPr>
        <w:spacing w:after="0" w:line="362"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12"/>
        <w:spacing w:after="0"/>
        <w:rPr>
          <w:sz w:val="20"/>
          <w:szCs w:val="20"/>
          <w:color w:val="auto"/>
        </w:rPr>
      </w:pPr>
      <w:r>
        <w:rPr>
          <w:rFonts w:ascii="Times New Roman" w:cs="Times New Roman" w:eastAsia="Times New Roman" w:hAnsi="Times New Roman"/>
          <w:sz w:val="22"/>
          <w:szCs w:val="22"/>
          <w:color w:val="auto"/>
        </w:rPr>
        <w:t>GAMCO INVESTORS, INC. ET AL</w:t>
      </w:r>
    </w:p>
    <w:p>
      <w:pPr>
        <w:spacing w:after="0" w:line="152" w:lineRule="exact"/>
        <w:rPr>
          <w:sz w:val="20"/>
          <w:szCs w:val="20"/>
          <w:color w:val="auto"/>
        </w:rPr>
      </w:pPr>
    </w:p>
    <w:p>
      <w:pPr>
        <w:ind w:left="3612"/>
        <w:spacing w:after="0"/>
        <w:tabs>
          <w:tab w:leader="none" w:pos="467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PETER D. GOLDSTEIN</w:t>
      </w:r>
    </w:p>
    <w:p>
      <w:pPr>
        <w:spacing w:after="0" w:line="44" w:lineRule="exact"/>
        <w:rPr>
          <w:sz w:val="20"/>
          <w:szCs w:val="20"/>
          <w:color w:val="auto"/>
        </w:rPr>
      </w:pPr>
    </w:p>
    <w:p>
      <w:pPr>
        <w:ind w:left="3612"/>
        <w:spacing w:after="0"/>
        <w:rPr>
          <w:sz w:val="20"/>
          <w:szCs w:val="20"/>
          <w:color w:val="auto"/>
        </w:rPr>
      </w:pPr>
      <w:r>
        <w:rPr>
          <w:rFonts w:ascii="Times New Roman" w:cs="Times New Roman" w:eastAsia="Times New Roman" w:hAnsi="Times New Roman"/>
          <w:sz w:val="22"/>
          <w:szCs w:val="22"/>
          <w:color w:val="auto"/>
        </w:rPr>
        <w:t>Name/Title: CHIEF LEGAL OFFICER</w:t>
      </w:r>
    </w:p>
    <w:p>
      <w:pPr>
        <w:spacing w:after="0" w:line="44" w:lineRule="exact"/>
        <w:rPr>
          <w:sz w:val="20"/>
          <w:szCs w:val="20"/>
          <w:color w:val="auto"/>
        </w:rPr>
      </w:pPr>
    </w:p>
    <w:p>
      <w:pPr>
        <w:ind w:left="3612"/>
        <w:spacing w:after="0"/>
        <w:tabs>
          <w:tab w:leader="none" w:pos="467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11/20/2025</w:t>
      </w:r>
    </w:p>
    <w:p>
      <w:pPr>
        <w:spacing w:after="0" w:line="152" w:lineRule="exact"/>
        <w:rPr>
          <w:sz w:val="20"/>
          <w:szCs w:val="20"/>
          <w:color w:val="auto"/>
        </w:rPr>
      </w:pPr>
    </w:p>
    <w:p>
      <w:pPr>
        <w:ind w:left="2332"/>
        <w:spacing w:after="0"/>
        <w:rPr>
          <w:sz w:val="20"/>
          <w:szCs w:val="20"/>
          <w:color w:val="auto"/>
        </w:rPr>
      </w:pPr>
      <w:r>
        <w:rPr>
          <w:rFonts w:ascii="Times New Roman" w:cs="Times New Roman" w:eastAsia="Times New Roman" w:hAnsi="Times New Roman"/>
          <w:sz w:val="22"/>
          <w:szCs w:val="22"/>
          <w:color w:val="auto"/>
        </w:rPr>
        <w:t>GABELLI FUNDS LLC</w:t>
      </w:r>
    </w:p>
    <w:p>
      <w:pPr>
        <w:spacing w:after="0" w:line="152" w:lineRule="exact"/>
        <w:rPr>
          <w:sz w:val="20"/>
          <w:szCs w:val="20"/>
          <w:color w:val="auto"/>
        </w:rPr>
      </w:pPr>
    </w:p>
    <w:p>
      <w:pPr>
        <w:ind w:left="3332"/>
        <w:spacing w:after="0"/>
        <w:tabs>
          <w:tab w:leader="none" w:pos="44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GOLDMAN</w:t>
      </w:r>
    </w:p>
    <w:p>
      <w:pPr>
        <w:spacing w:after="0" w:line="44" w:lineRule="exact"/>
        <w:rPr>
          <w:sz w:val="20"/>
          <w:szCs w:val="20"/>
          <w:color w:val="auto"/>
        </w:rPr>
      </w:pPr>
    </w:p>
    <w:p>
      <w:pPr>
        <w:ind w:left="3332"/>
        <w:spacing w:after="0"/>
        <w:rPr>
          <w:sz w:val="20"/>
          <w:szCs w:val="20"/>
          <w:color w:val="auto"/>
        </w:rPr>
      </w:pPr>
      <w:r>
        <w:rPr>
          <w:rFonts w:ascii="Times New Roman" w:cs="Times New Roman" w:eastAsia="Times New Roman" w:hAnsi="Times New Roman"/>
          <w:sz w:val="22"/>
          <w:szCs w:val="22"/>
          <w:color w:val="auto"/>
        </w:rPr>
        <w:t>Name/Title: GENERAL COUNSEL</w:t>
      </w:r>
    </w:p>
    <w:p>
      <w:pPr>
        <w:spacing w:after="0" w:line="44" w:lineRule="exact"/>
        <w:rPr>
          <w:sz w:val="20"/>
          <w:szCs w:val="20"/>
          <w:color w:val="auto"/>
        </w:rPr>
      </w:pPr>
    </w:p>
    <w:p>
      <w:pPr>
        <w:ind w:left="3332"/>
        <w:spacing w:after="0"/>
        <w:tabs>
          <w:tab w:leader="none" w:pos="44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11/20/2025</w:t>
      </w:r>
    </w:p>
    <w:p>
      <w:pPr>
        <w:spacing w:after="0" w:line="152" w:lineRule="exact"/>
        <w:rPr>
          <w:sz w:val="20"/>
          <w:szCs w:val="20"/>
          <w:color w:val="auto"/>
        </w:rPr>
      </w:pPr>
    </w:p>
    <w:p>
      <w:pPr>
        <w:ind w:left="3092"/>
        <w:spacing w:after="0"/>
        <w:rPr>
          <w:sz w:val="20"/>
          <w:szCs w:val="20"/>
          <w:color w:val="auto"/>
        </w:rPr>
      </w:pPr>
      <w:r>
        <w:rPr>
          <w:rFonts w:ascii="Times New Roman" w:cs="Times New Roman" w:eastAsia="Times New Roman" w:hAnsi="Times New Roman"/>
          <w:sz w:val="22"/>
          <w:szCs w:val="22"/>
          <w:color w:val="auto"/>
        </w:rPr>
        <w:t>GAMCO Asset Management Inc.</w:t>
      </w:r>
    </w:p>
    <w:p>
      <w:pPr>
        <w:spacing w:after="0" w:line="152" w:lineRule="exact"/>
        <w:rPr>
          <w:sz w:val="20"/>
          <w:szCs w:val="20"/>
          <w:color w:val="auto"/>
        </w:rPr>
      </w:pPr>
    </w:p>
    <w:p>
      <w:pPr>
        <w:ind w:left="3692"/>
        <w:spacing w:after="0"/>
        <w:tabs>
          <w:tab w:leader="none" w:pos="475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DOUGLAS R. JAMIESON</w:t>
      </w:r>
    </w:p>
    <w:p>
      <w:pPr>
        <w:spacing w:after="0" w:line="44" w:lineRule="exact"/>
        <w:rPr>
          <w:sz w:val="20"/>
          <w:szCs w:val="20"/>
          <w:color w:val="auto"/>
        </w:rPr>
      </w:pPr>
    </w:p>
    <w:p>
      <w:pPr>
        <w:ind w:left="3692"/>
        <w:spacing w:after="0"/>
        <w:rPr>
          <w:sz w:val="20"/>
          <w:szCs w:val="20"/>
          <w:color w:val="auto"/>
        </w:rPr>
      </w:pPr>
      <w:r>
        <w:rPr>
          <w:rFonts w:ascii="Times New Roman" w:cs="Times New Roman" w:eastAsia="Times New Roman" w:hAnsi="Times New Roman"/>
          <w:sz w:val="22"/>
          <w:szCs w:val="22"/>
          <w:color w:val="auto"/>
        </w:rPr>
        <w:t>Name/Title: PRESIDENT</w:t>
      </w:r>
    </w:p>
    <w:p>
      <w:pPr>
        <w:spacing w:after="0" w:line="44" w:lineRule="exact"/>
        <w:rPr>
          <w:sz w:val="20"/>
          <w:szCs w:val="20"/>
          <w:color w:val="auto"/>
        </w:rPr>
      </w:pPr>
    </w:p>
    <w:p>
      <w:pPr>
        <w:ind w:left="3692"/>
        <w:spacing w:after="0"/>
        <w:tabs>
          <w:tab w:leader="none" w:pos="475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11/20/2025</w:t>
      </w:r>
    </w:p>
    <w:p>
      <w:pPr>
        <w:sectPr>
          <w:pgSz w:w="11900" w:h="16887" w:orient="portrait"/>
          <w:cols w:equalWidth="0" w:num="1">
            <w:col w:w="11152"/>
          </w:cols>
          <w:pgMar w:left="368" w:top="111" w:right="379" w:bottom="0" w:gutter="0" w:footer="0" w:header="0"/>
        </w:sectPr>
      </w:pPr>
    </w:p>
    <w:bookmarkStart w:id="9" w:name="page10"/>
    <w:bookmarkEnd w:id="9"/>
    <w:p>
      <w:pPr>
        <w:jc w:val="right"/>
        <w:ind w:right="859"/>
        <w:spacing w:after="0"/>
        <w:rPr>
          <w:sz w:val="20"/>
          <w:szCs w:val="20"/>
          <w:color w:val="auto"/>
        </w:rPr>
      </w:pPr>
      <w:r>
        <w:rPr>
          <w:rFonts w:ascii="Times New Roman" w:cs="Times New Roman" w:eastAsia="Times New Roman" w:hAnsi="Times New Roman"/>
          <w:sz w:val="22"/>
          <w:szCs w:val="22"/>
          <w:color w:val="auto"/>
        </w:rPr>
        <w:t>GABELLI &amp; Co INVESTMENT ADVISERS, INC.</w:t>
      </w:r>
    </w:p>
    <w:p>
      <w:pPr>
        <w:spacing w:after="0" w:line="152" w:lineRule="exact"/>
        <w:rPr>
          <w:sz w:val="20"/>
          <w:szCs w:val="20"/>
          <w:color w:val="auto"/>
        </w:rPr>
      </w:pPr>
    </w:p>
    <w:p>
      <w:pPr>
        <w:ind w:left="2620"/>
        <w:spacing w:after="0"/>
        <w:tabs>
          <w:tab w:leader="none" w:pos="3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DOUGLAS R. JAMIESON</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PRESIDENT</w:t>
      </w:r>
    </w:p>
    <w:p>
      <w:pPr>
        <w:spacing w:after="0" w:line="44" w:lineRule="exact"/>
        <w:rPr>
          <w:sz w:val="20"/>
          <w:szCs w:val="20"/>
          <w:color w:val="auto"/>
        </w:rPr>
      </w:pPr>
    </w:p>
    <w:p>
      <w:pPr>
        <w:ind w:left="2620"/>
        <w:spacing w:after="0"/>
        <w:tabs>
          <w:tab w:leader="none" w:pos="3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11/20/2025</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GGCP, INC.</w:t>
      </w:r>
    </w:p>
    <w:p>
      <w:pPr>
        <w:spacing w:after="0" w:line="152" w:lineRule="exact"/>
        <w:rPr>
          <w:sz w:val="20"/>
          <w:szCs w:val="20"/>
          <w:color w:val="auto"/>
        </w:rPr>
      </w:pPr>
    </w:p>
    <w:p>
      <w:pPr>
        <w:ind w:left="2220"/>
        <w:spacing w:after="0"/>
        <w:tabs>
          <w:tab w:leader="none" w:pos="3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GOLDMAN</w:t>
      </w:r>
    </w:p>
    <w:p>
      <w:pPr>
        <w:spacing w:after="0" w:line="4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2220"/>
        <w:spacing w:after="0"/>
        <w:tabs>
          <w:tab w:leader="none" w:pos="3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11/20/2025</w:t>
      </w:r>
    </w:p>
    <w:p>
      <w:pPr>
        <w:spacing w:after="0" w:line="15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Associated Capital Group,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PETER D. GOLDSTEIN</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CHIEF LEGAL OFFICER</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11/20/2025</w:t>
      </w:r>
    </w:p>
    <w:p>
      <w:pPr>
        <w:spacing w:after="0" w:line="1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GABELLI MARIO J</w:t>
      </w:r>
    </w:p>
    <w:p>
      <w:pPr>
        <w:spacing w:after="0" w:line="152" w:lineRule="exact"/>
        <w:rPr>
          <w:sz w:val="20"/>
          <w:szCs w:val="20"/>
          <w:color w:val="auto"/>
        </w:rPr>
      </w:pPr>
    </w:p>
    <w:p>
      <w:pPr>
        <w:ind w:left="2220"/>
        <w:spacing w:after="0"/>
        <w:tabs>
          <w:tab w:leader="none" w:pos="3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GOLDMAN</w:t>
      </w:r>
    </w:p>
    <w:p>
      <w:pPr>
        <w:spacing w:after="0" w:line="4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2220"/>
        <w:spacing w:after="0"/>
        <w:tabs>
          <w:tab w:leader="none" w:pos="3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11/20/2025</w:t>
      </w:r>
    </w:p>
    <w:sectPr>
      <w:pgSz w:w="11900" w:h="16838" w:orient="portrait"/>
      <w:cols w:equalWidth="0" w:num="1">
        <w:col w:w="9019"/>
      </w:cols>
      <w:pgMar w:left="1440" w:top="2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4"/>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2025-11-20T15:14:32Z</dcterms:created>
  <dcterms:modified xsi:type="dcterms:W3CDTF">2025-11-20T15:14:32Z</dcterms:modified>
</cp:coreProperties>
</file>