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19,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No.333-64173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No.333-64171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No.333-79741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No.333-54266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No.333-165098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No.333-165101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No.333-231199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No.333-251486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No.333-262922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No.333-271875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left="540" w:right="560"/>
        <w:spacing w:after="0" w:line="260" w:lineRule="auto"/>
        <w:rPr>
          <w:sz w:val="20"/>
          <w:szCs w:val="20"/>
          <w:color w:val="auto"/>
        </w:rPr>
      </w:pPr>
      <w:r>
        <w:rPr>
          <w:rFonts w:ascii="Times New Roman" w:cs="Times New Roman" w:eastAsia="Times New Roman" w:hAnsi="Times New Roman"/>
          <w:sz w:val="24"/>
          <w:szCs w:val="24"/>
          <w:b w:val="1"/>
          <w:bCs w:val="1"/>
          <w:color w:val="auto"/>
        </w:rPr>
        <w:t>POST-EFFECTIVE AMENDMENT NO. 1 TO FORM S-8 REGISTRATION STATEMENT NO.333-64171 FORM S-8 REGISTRATION STATEMENT NO.333-64173 FORM S-8 REGISTRATION STATEMENT NO.333-79741 FORM S-8 REGISTRATION STATEMENT NO.333-54266 FORM S-8 REGISTRATION STATEMENT NO.333-165098 FORM S-8 REGISTRATION STATEMENT NO.333-165101 FORM S-8 REGISTRATION STATEMENT NO.333-231199 FORM S-8 REGISTRATION STATEMENT NO.333-251486 FORM S-8 REGISTRATION STATEMENT NO.333-262922 FORM S-8 REGISTRATION STATEMENT NO.333-271875</w:t>
      </w:r>
    </w:p>
    <w:p>
      <w:pPr>
        <w:jc w:val="center"/>
        <w:ind w:right="2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Surmodics,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2540" w:type="dxa"/>
            <w:vAlign w:val="bottom"/>
          </w:tcPr>
          <w:p>
            <w:pPr>
              <w:jc w:val="right"/>
              <w:ind w:right="733"/>
              <w:spacing w:after="0"/>
              <w:rPr>
                <w:sz w:val="20"/>
                <w:szCs w:val="20"/>
                <w:color w:val="auto"/>
              </w:rPr>
            </w:pPr>
            <w:r>
              <w:rPr>
                <w:rFonts w:ascii="Times New Roman" w:cs="Times New Roman" w:eastAsia="Times New Roman" w:hAnsi="Times New Roman"/>
                <w:sz w:val="18"/>
                <w:szCs w:val="18"/>
                <w:b w:val="1"/>
                <w:bCs w:val="1"/>
                <w:color w:val="auto"/>
              </w:rPr>
              <w:t>41-1356149</w:t>
            </w:r>
          </w:p>
        </w:tc>
      </w:tr>
      <w:tr>
        <w:trPr>
          <w:trHeight w:val="149"/>
        </w:trPr>
        <w:tc>
          <w:tcPr>
            <w:tcW w:w="6520" w:type="dxa"/>
            <w:vAlign w:val="bottom"/>
          </w:tcPr>
          <w:p>
            <w:pPr>
              <w:jc w:val="center"/>
              <w:ind w:right="195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w w:val="99"/>
              </w:rPr>
              <w:t>9924 West 74th Street</w:t>
            </w:r>
          </w:p>
        </w:tc>
        <w:tc>
          <w:tcPr>
            <w:tcW w:w="2540" w:type="dxa"/>
            <w:vAlign w:val="bottom"/>
          </w:tcPr>
          <w:p>
            <w:pPr>
              <w:spacing w:after="0"/>
              <w:rPr>
                <w:sz w:val="24"/>
                <w:szCs w:val="24"/>
                <w:color w:val="auto"/>
              </w:rPr>
            </w:pPr>
          </w:p>
        </w:tc>
      </w:tr>
      <w:tr>
        <w:trPr>
          <w:trHeight w:val="214"/>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8"/>
                <w:szCs w:val="18"/>
                <w:b w:val="1"/>
                <w:bCs w:val="1"/>
                <w:color w:val="auto"/>
                <w:w w:val="99"/>
              </w:rPr>
              <w:t>Eden Prairie, Minnesota 55344</w:t>
            </w:r>
          </w:p>
        </w:tc>
        <w:tc>
          <w:tcPr>
            <w:tcW w:w="2540" w:type="dxa"/>
            <w:vAlign w:val="bottom"/>
          </w:tcPr>
          <w:p>
            <w:pPr>
              <w:spacing w:after="0"/>
              <w:rPr>
                <w:sz w:val="18"/>
                <w:szCs w:val="18"/>
                <w:color w:val="auto"/>
              </w:rPr>
            </w:pPr>
          </w:p>
        </w:tc>
      </w:tr>
      <w:tr>
        <w:trPr>
          <w:trHeight w:val="190"/>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2540" w:type="dxa"/>
            <w:vAlign w:val="bottom"/>
          </w:tcPr>
          <w:p>
            <w:pPr>
              <w:spacing w:after="0"/>
              <w:rPr>
                <w:sz w:val="16"/>
                <w:szCs w:val="16"/>
                <w:color w:val="auto"/>
              </w:rPr>
            </w:pPr>
          </w:p>
        </w:tc>
      </w:tr>
      <w:tr>
        <w:trPr>
          <w:trHeight w:val="393"/>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w w:val="99"/>
              </w:rPr>
              <w:t>1987 Incentive Stock Option Plan</w:t>
            </w:r>
          </w:p>
        </w:tc>
        <w:tc>
          <w:tcPr>
            <w:tcW w:w="2540" w:type="dxa"/>
            <w:vAlign w:val="bottom"/>
          </w:tcPr>
          <w:p>
            <w:pPr>
              <w:spacing w:after="0"/>
              <w:rPr>
                <w:sz w:val="24"/>
                <w:szCs w:val="24"/>
                <w:color w:val="auto"/>
              </w:rPr>
            </w:pPr>
          </w:p>
        </w:tc>
      </w:tr>
      <w:tr>
        <w:trPr>
          <w:trHeight w:val="216"/>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w w:val="99"/>
              </w:rPr>
              <w:t>1997 Incentive Stock Option Plan</w:t>
            </w:r>
          </w:p>
        </w:tc>
        <w:tc>
          <w:tcPr>
            <w:tcW w:w="2540" w:type="dxa"/>
            <w:vAlign w:val="bottom"/>
          </w:tcPr>
          <w:p>
            <w:pPr>
              <w:spacing w:after="0"/>
              <w:rPr>
                <w:sz w:val="18"/>
                <w:szCs w:val="18"/>
                <w:color w:val="auto"/>
              </w:rPr>
            </w:pPr>
          </w:p>
        </w:tc>
      </w:tr>
      <w:tr>
        <w:trPr>
          <w:trHeight w:val="216"/>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8"/>
                <w:szCs w:val="18"/>
                <w:b w:val="1"/>
                <w:bCs w:val="1"/>
                <w:color w:val="auto"/>
              </w:rPr>
              <w:t>Nonqualified Stock Option Plan</w:t>
            </w:r>
          </w:p>
        </w:tc>
        <w:tc>
          <w:tcPr>
            <w:tcW w:w="2540" w:type="dxa"/>
            <w:vAlign w:val="bottom"/>
          </w:tcPr>
          <w:p>
            <w:pPr>
              <w:spacing w:after="0"/>
              <w:rPr>
                <w:sz w:val="18"/>
                <w:szCs w:val="18"/>
                <w:color w:val="auto"/>
              </w:rPr>
            </w:pPr>
          </w:p>
        </w:tc>
      </w:tr>
      <w:tr>
        <w:trPr>
          <w:trHeight w:val="216"/>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8"/>
                <w:szCs w:val="18"/>
                <w:b w:val="1"/>
                <w:bCs w:val="1"/>
                <w:color w:val="auto"/>
                <w:w w:val="99"/>
              </w:rPr>
              <w:t>Restricted Stock Plan</w:t>
            </w:r>
          </w:p>
        </w:tc>
        <w:tc>
          <w:tcPr>
            <w:tcW w:w="2540" w:type="dxa"/>
            <w:vAlign w:val="bottom"/>
          </w:tcPr>
          <w:p>
            <w:pPr>
              <w:spacing w:after="0"/>
              <w:rPr>
                <w:sz w:val="18"/>
                <w:szCs w:val="18"/>
                <w:color w:val="auto"/>
              </w:rPr>
            </w:pPr>
          </w:p>
        </w:tc>
      </w:tr>
      <w:tr>
        <w:trPr>
          <w:trHeight w:val="216"/>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8"/>
                <w:szCs w:val="18"/>
                <w:b w:val="1"/>
                <w:bCs w:val="1"/>
                <w:color w:val="auto"/>
                <w:w w:val="99"/>
              </w:rPr>
              <w:t>1999 Employee Stock Purchase Plan</w:t>
            </w:r>
          </w:p>
        </w:tc>
        <w:tc>
          <w:tcPr>
            <w:tcW w:w="2540" w:type="dxa"/>
            <w:vAlign w:val="bottom"/>
          </w:tcPr>
          <w:p>
            <w:pPr>
              <w:spacing w:after="0"/>
              <w:rPr>
                <w:sz w:val="18"/>
                <w:szCs w:val="18"/>
                <w:color w:val="auto"/>
              </w:rPr>
            </w:pPr>
          </w:p>
        </w:tc>
      </w:tr>
      <w:tr>
        <w:trPr>
          <w:trHeight w:val="216"/>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rPr>
              <w:t>2009 Equity Incentive Plan</w:t>
            </w:r>
          </w:p>
        </w:tc>
        <w:tc>
          <w:tcPr>
            <w:tcW w:w="2540" w:type="dxa"/>
            <w:vAlign w:val="bottom"/>
          </w:tcPr>
          <w:p>
            <w:pPr>
              <w:spacing w:after="0"/>
              <w:rPr>
                <w:sz w:val="18"/>
                <w:szCs w:val="18"/>
                <w:color w:val="auto"/>
              </w:rPr>
            </w:pPr>
          </w:p>
        </w:tc>
      </w:tr>
      <w:tr>
        <w:trPr>
          <w:trHeight w:val="214"/>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tc>
        <w:tc>
          <w:tcPr>
            <w:tcW w:w="2540" w:type="dxa"/>
            <w:vAlign w:val="bottom"/>
          </w:tcPr>
          <w:p>
            <w:pPr>
              <w:spacing w:after="0"/>
              <w:rPr>
                <w:sz w:val="18"/>
                <w:szCs w:val="18"/>
                <w:color w:val="auto"/>
              </w:rPr>
            </w:pPr>
          </w:p>
        </w:tc>
      </w:tr>
      <w:tr>
        <w:trPr>
          <w:trHeight w:val="190"/>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c>
          <w:tcPr>
            <w:tcW w:w="2540" w:type="dxa"/>
            <w:vAlign w:val="bottom"/>
          </w:tcPr>
          <w:p>
            <w:pPr>
              <w:spacing w:after="0"/>
              <w:rPr>
                <w:sz w:val="16"/>
                <w:szCs w:val="16"/>
                <w:color w:val="auto"/>
              </w:rPr>
            </w:pPr>
          </w:p>
        </w:tc>
      </w:tr>
      <w:tr>
        <w:trPr>
          <w:trHeight w:val="442"/>
        </w:trPr>
        <w:tc>
          <w:tcPr>
            <w:tcW w:w="65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tc>
      </w:tr>
      <w:tr>
        <w:trPr>
          <w:trHeight w:val="302"/>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Robert B. Hance</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Rachel W. Sheridan, P.C.</w:t>
            </w:r>
          </w:p>
        </w:tc>
      </w:tr>
      <w:tr>
        <w:trPr>
          <w:trHeight w:val="216"/>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and Assistant Secretary</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Shagufa R. Hossain, P.C.</w:t>
            </w:r>
          </w:p>
        </w:tc>
      </w:tr>
      <w:tr>
        <w:trPr>
          <w:trHeight w:val="216"/>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Surmodics, Inc.</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Christina M. Thomas</w:t>
            </w:r>
          </w:p>
        </w:tc>
      </w:tr>
      <w:tr>
        <w:trPr>
          <w:trHeight w:val="216"/>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123 Rock Road</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Kirkland &amp; Ellis LLP</w:t>
            </w:r>
          </w:p>
        </w:tc>
      </w:tr>
      <w:tr>
        <w:trPr>
          <w:trHeight w:val="216"/>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Horsham, Pennsylvania 19044</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1301 Pennsylvania Avenue, N.W.</w:t>
            </w:r>
          </w:p>
        </w:tc>
      </w:tr>
      <w:tr>
        <w:trPr>
          <w:trHeight w:val="214"/>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(215) 734-0888</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Washington, D.C. 20004</w:t>
            </w:r>
          </w:p>
        </w:tc>
      </w:tr>
      <w:tr>
        <w:trPr>
          <w:trHeight w:val="167"/>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4"/>
                <w:szCs w:val="14"/>
                <w:b w:val="1"/>
                <w:bCs w:val="1"/>
                <w:color w:val="auto"/>
              </w:rPr>
              <w:t>(Name, address and telephone number</w:t>
            </w:r>
          </w:p>
        </w:tc>
        <w:tc>
          <w:tcPr>
            <w:tcW w:w="2540" w:type="dxa"/>
            <w:vAlign w:val="bottom"/>
          </w:tcPr>
          <w:p>
            <w:pPr>
              <w:jc w:val="right"/>
              <w:ind w:right="613"/>
              <w:spacing w:after="0" w:line="167" w:lineRule="exact"/>
              <w:rPr>
                <w:sz w:val="20"/>
                <w:szCs w:val="20"/>
                <w:color w:val="auto"/>
              </w:rPr>
            </w:pPr>
            <w:r>
              <w:rPr>
                <w:rFonts w:ascii="Times New Roman" w:cs="Times New Roman" w:eastAsia="Times New Roman" w:hAnsi="Times New Roman"/>
                <w:sz w:val="18"/>
                <w:szCs w:val="18"/>
                <w:b w:val="1"/>
                <w:bCs w:val="1"/>
                <w:color w:val="auto"/>
              </w:rPr>
              <w:t>(202) 389-5000</w:t>
            </w:r>
          </w:p>
        </w:tc>
      </w:tr>
      <w:tr>
        <w:trPr>
          <w:trHeight w:val="190"/>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4"/>
                <w:szCs w:val="14"/>
                <w:b w:val="1"/>
                <w:bCs w:val="1"/>
                <w:color w:val="auto"/>
              </w:rPr>
              <w:t>including area code, of agent for service)</w:t>
            </w:r>
          </w:p>
        </w:tc>
        <w:tc>
          <w:tcPr>
            <w:tcW w:w="25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217805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sectPr>
      </w:pPr>
    </w:p>
    <w:p>
      <w:pPr>
        <w:spacing w:after="0" w:line="200" w:lineRule="exact"/>
        <w:rPr>
          <w:sz w:val="24"/>
          <w:szCs w:val="24"/>
          <w:color w:val="auto"/>
        </w:rPr>
      </w:pPr>
    </w:p>
    <w:p>
      <w:pPr>
        <w:spacing w:after="0" w:line="354"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38" w:orient="portrait"/>
          <w:cols w:equalWidth="0" w:num="1">
            <w:col w:w="11020"/>
          </w:cols>
          <w:pgMar w:left="440" w:top="225"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filed by Surmodics, Inc. (the “Registrant”) relate to the following registration statements on Form S-8 (together, the “Registration Statements”):</w:t>
      </w:r>
    </w:p>
    <w:p>
      <w:pPr>
        <w:spacing w:after="0" w:line="54" w:lineRule="exact"/>
        <w:rPr>
          <w:sz w:val="20"/>
          <w:szCs w:val="20"/>
          <w:color w:val="auto"/>
        </w:rPr>
      </w:pPr>
    </w:p>
    <w:p>
      <w:pPr>
        <w:ind w:right="320" w:firstLine="436"/>
        <w:spacing w:after="0" w:line="261"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333-64173, registering (i) an aggregate of 982,240 shares of the Registrant’s common stock, $0.05 par value per share (the “Common Stock”) issuable under the Registrant’s Nonqualified Stock Option Plan and (ii) an indefinite amount of options to purchase Common Stock under the Registrant’s Nonqualified Stock Option Plan, which was filed with the U.S. Securities and Exchange Commission (the “Commission”) on September 24, 1998;</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333-64171, registering (i) an aggregate of 877,700 shares of Common Stock, consisting of (a) 277,700 shares of Common Stock issuable under the Registrant’s 1987 Incentive Stock Option Plan and (b) 600,000 shares of Common Stock issuable under the Registrant’s 1997 Incentive Stock Option Plan and (ii) an indefinite amount of options to purchase Common Stock under the Registrant’s 1987 Incentive Stock Option Plan and 1997 Incentive Stock Option Plan, which was filed with the Commission on September 24, 1998;</w:t>
      </w:r>
    </w:p>
    <w:p>
      <w:pPr>
        <w:spacing w:after="0" w:line="179"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333-79741, registering an aggregate of 100,000 shares of Common Stock issuable under the Registrant’s Restricted Stock Plan, which was filed with the Commission on June 1, 1999;</w:t>
      </w:r>
    </w:p>
    <w:p>
      <w:pPr>
        <w:spacing w:after="0" w:line="161" w:lineRule="exact"/>
        <w:rPr>
          <w:rFonts w:ascii="Times New Roman" w:cs="Times New Roman" w:eastAsia="Times New Roman" w:hAnsi="Times New Roman"/>
          <w:sz w:val="18"/>
          <w:szCs w:val="18"/>
          <w:color w:val="auto"/>
        </w:rPr>
      </w:pPr>
    </w:p>
    <w:p>
      <w:pPr>
        <w:ind w:right="240" w:firstLine="436"/>
        <w:spacing w:after="0" w:line="266"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333-54266, registering (i) an aggregate of 200,000 shares of Common Stock issuable under the Registrant’s 1999 Employee Stock Purchase Plan, as later amended and restated (the “1999 Plan”) and (ii) an indefinite amount of options to purchase Common Stock under the 1999 Plan, which was filed with the Commission on January 25, 2001;</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333-165098, registering (i) an aggregate of 1,500,000 shares of Common Stock issuable under the Registrant’s 2009 Equity Incentive Plan, (ii) an undetermined number of shares of Common Stock that were previously registered by the Registrant under the Registrant’s 2003 Equity Incentive plan on Registration Statement No. 333-104258 and Registration Statement No. 333-123521, which was filed with the Commission on February 26, 2010;</w:t>
      </w:r>
    </w:p>
    <w:p>
      <w:pPr>
        <w:spacing w:after="0" w:line="179" w:lineRule="exact"/>
        <w:rPr>
          <w:rFonts w:ascii="Times New Roman" w:cs="Times New Roman" w:eastAsia="Times New Roman" w:hAnsi="Times New Roman"/>
          <w:sz w:val="18"/>
          <w:szCs w:val="18"/>
          <w:color w:val="auto"/>
        </w:rPr>
      </w:pPr>
    </w:p>
    <w:p>
      <w:pPr>
        <w:ind w:right="36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333-165101, registering an aggregate of 200,000 shares of Common Stock issuable under the Registrant’s 1999 Plan, which was filed with the Commission on February 26, 2010;</w:t>
      </w:r>
    </w:p>
    <w:p>
      <w:pPr>
        <w:spacing w:after="0" w:line="161" w:lineRule="exact"/>
        <w:rPr>
          <w:rFonts w:ascii="Times New Roman" w:cs="Times New Roman" w:eastAsia="Times New Roman" w:hAnsi="Times New Roman"/>
          <w:sz w:val="18"/>
          <w:szCs w:val="18"/>
          <w:color w:val="auto"/>
        </w:rPr>
      </w:pPr>
    </w:p>
    <w:p>
      <w:pPr>
        <w:ind w:right="24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333-231199, registering an aggregate of 1,100,000 shares of Common Stock issuable under the Registrant’s 2019 Equity Incentive Plan, as later amended and restated (the “2019 Plan”), which was filed with the Commission on May 3, 2019;</w:t>
      </w:r>
    </w:p>
    <w:p>
      <w:pPr>
        <w:spacing w:after="0" w:line="161" w:lineRule="exact"/>
        <w:rPr>
          <w:rFonts w:ascii="Times New Roman" w:cs="Times New Roman" w:eastAsia="Times New Roman" w:hAnsi="Times New Roman"/>
          <w:sz w:val="18"/>
          <w:szCs w:val="18"/>
          <w:color w:val="auto"/>
        </w:rPr>
      </w:pPr>
    </w:p>
    <w:p>
      <w:pPr>
        <w:ind w:right="36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333-251486, registering an aggregate of 162,917 shares of Common Stock issuable under the Registrant’s 1999 Plan, which was filed with the Commission on December 18, 2020;</w:t>
      </w:r>
    </w:p>
    <w:p>
      <w:pPr>
        <w:spacing w:after="0" w:line="161" w:lineRule="exact"/>
        <w:rPr>
          <w:rFonts w:ascii="Times New Roman" w:cs="Times New Roman" w:eastAsia="Times New Roman" w:hAnsi="Times New Roman"/>
          <w:sz w:val="18"/>
          <w:szCs w:val="18"/>
          <w:color w:val="auto"/>
        </w:rPr>
      </w:pPr>
    </w:p>
    <w:p>
      <w:pPr>
        <w:ind w:right="36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333-262922, registering an aggregate of 800,000 shares of Common Stock issuable under the Registrant’s 2019 Plan, which was filed with the Commission on February 23, 2022; and</w:t>
      </w:r>
    </w:p>
    <w:p>
      <w:pPr>
        <w:spacing w:after="0" w:line="161" w:lineRule="exact"/>
        <w:rPr>
          <w:rFonts w:ascii="Times New Roman" w:cs="Times New Roman" w:eastAsia="Times New Roman" w:hAnsi="Times New Roman"/>
          <w:sz w:val="18"/>
          <w:szCs w:val="18"/>
          <w:color w:val="auto"/>
        </w:rPr>
      </w:pPr>
    </w:p>
    <w:p>
      <w:pPr>
        <w:ind w:right="260" w:firstLine="436"/>
        <w:spacing w:after="0" w:line="282" w:lineRule="auto"/>
        <w:tabs>
          <w:tab w:leader="none" w:pos="7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333-271875, registering an aggregate of 440,000 shares of Common Stock issuable under the Registrant’s 2019 Plan, which was filed with the Commission on May 12, 2023.</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November 19, 2025, pursuant to the Merger Agreement, dated May 28, 2024 (the “Merger Agreement”), by and among the Registrant, BCE Parent, LLC (“Parent”) and BCE Merger Sub, Inc. (“Merger Sub”), Merger Sub merged with and into the Registrant (the “Merger”), with the Registrant continuing as the surviving corporation and becoming a wholly-owned subsidiary of Parent. As a result of the transactions contemplated by the Merger Agreement, the Registrant has terminated any and all offerings and sales of securities pursuant to the Registration Statements. In accordance with the undertakings made by the Registrant in each of the Registration Statements to remove from registration, by means of a post-effective amendment, any of the securities of the Registrant registered under such Registration Statement which remain unsold at the termination of the offering, the Registrant hereby terminates the effectiveness of the Registration Statements and removes from registration all of the securities that remain unsold under the Registration Statements as of the date hereof, if any.</w:t>
      </w:r>
    </w:p>
    <w:p>
      <w:pPr>
        <w:sectPr>
          <w:pgSz w:w="11900" w:h="16838" w:orient="portrait"/>
          <w:cols w:equalWidth="0" w:num="1">
            <w:col w:w="11000"/>
          </w:cols>
          <w:pgMar w:left="440" w:top="266" w:right="459" w:bottom="1440" w:gutter="0" w:footer="0" w:header="0"/>
        </w:sectPr>
      </w:pPr>
    </w:p>
    <w:bookmarkStart w:id="3" w:name="page4"/>
    <w:bookmarkEnd w:id="3"/>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is filing these Post-Effective Amendments to withdraw and remove from registration all securities registered pursuant to the Registration Statements that remain unsold as of the date hereof. The Registration Statements are hereby amended, as appropriate, to reflect the deregistration of such securities. After giving effect to these Post-Effective Amendments, there will be no remaining securities registered by the Registrant pursuant to the Registration Statements.</w:t>
      </w:r>
    </w:p>
    <w:p>
      <w:pPr>
        <w:sectPr>
          <w:pgSz w:w="11900" w:h="16838" w:orient="portrait"/>
          <w:cols w:equalWidth="0" w:num="1">
            <w:col w:w="10460"/>
          </w:cols>
          <w:pgMar w:left="440" w:top="270" w:right="99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Horsham, State of Pennsylvania, on November 19,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SURMODICS,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B. 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Robert B. Hance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 Chief Executive Officer and Assistant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Rule 478 under the Securities Act of 1933, no other person is required to sign these Post-Effective Amendments.</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2025-11-19T15:43:36Z</dcterms:created>
  <dcterms:modified xsi:type="dcterms:W3CDTF">2025-11-19T15:43:36Z</dcterms:modified>
</cp:coreProperties>
</file>